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drawing>
          <wp:inline distT="0" distB="0" distL="0" distR="0">
            <wp:extent cx="1428750" cy="361950"/>
            <wp:effectExtent t="0" r="0" b="0" l="0"/>
            <wp:docPr id="1" name="Logo" descr="ImmoJump Logo" title="ImmoJu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bottom w:val="single" w:color="2F6BFF" w:sz="6" w:space="6"/>
        </w:pBdr>
        <w:spacing w:after="160"/>
      </w:pPr>
      <w:r>
        <w:rPr>
          <w:b/>
          <w:bCs/>
          <w:color w:val="2F6BFF"/>
          <w:spacing w:val="30"/>
          <w:sz w:val="15"/>
          <w:szCs w:val="15"/>
        </w:rPr>
        <w:t xml:space="preserve">PREMIUM-ABLAGE FÜR INVESTOREN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101828"/>
          <w:sz w:val="46"/>
          <w:szCs w:val="46"/>
        </w:rPr>
        <w:t xml:space="preserve">Die perfekte Immobilien-Ablage</w:t>
      </w:r>
    </w:p>
    <w:p>
      <w:pPr>
        <w:spacing w:after="60"/>
      </w:pPr>
      <w:r>
        <w:rPr>
          <w:color w:val="5B6678"/>
          <w:sz w:val="24"/>
          <w:szCs w:val="24"/>
        </w:rPr>
        <w:t xml:space="preserve">Eine klare, steuerfeste Ordnerstruktur für Bestandsimmobilien.</w:t>
      </w:r>
    </w:p>
    <w:p>
      <w:pPr>
        <w:spacing w:after="140"/>
      </w:pPr>
      <w:r>
        <w:rPr>
          <w:sz w:val="22"/>
          <w:szCs w:val="22"/>
        </w:rPr>
        <w:t xml:space="preserve">Das erste Objekt wird sorgfältig sortiert, das zweite anders, beim dritten liegen die Belege schon lose herum – drei Objekte, drei Strukturen. Spätestens bei Steuererklärung, Bankgespräch oder Verkauf wird das teuer. Dieses System setzt für jedes Objekt dieselbe, durchdachte Struktur durch.</w:t>
      </w:r>
    </w:p>
    <w:p>
      <w:pPr>
        <w:pStyle w:val="Heading1"/>
      </w:pPr>
      <w:r>
        <w:t xml:space="preserve">Das Prinzip in drei Ebenen</w:t>
      </w:r>
    </w:p>
    <w:p>
      <w:pPr>
        <w:spacing w:after="120"/>
      </w:pPr>
      <w:r>
        <w:rPr>
          <w:sz w:val="22"/>
          <w:szCs w:val="22"/>
        </w:rPr>
        <w:t xml:space="preserve">Geordnet wird von oben nach unten – jede Ebene hat einen klaren Zweck: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626"/>
      </w:tblGrid>
      <w:tr>
        <w:tc>
          <w:tcPr>
            <w:tcW w:type="dxa" w:w="2400"/>
            <w:tcBorders>
              <w:top w:val="single" w:color="D9DEE8" w:sz="4"/>
              <w:left w:val="single" w:color="D9DEE8" w:sz="4"/>
              <w:bottom w:val="single" w:color="D9DEE8" w:sz="4"/>
              <w:right w:val="single" w:color="D9DEE8" w:sz="4"/>
            </w:tcBorders>
            <w:shd w:fill="1F4E79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Ebene</w:t>
            </w:r>
          </w:p>
        </w:tc>
        <w:tc>
          <w:tcPr>
            <w:tcW w:type="dxa" w:w="6626"/>
            <w:tcBorders>
              <w:top w:val="single" w:color="D9DEE8" w:sz="4"/>
              <w:left w:val="single" w:color="D9DEE8" w:sz="4"/>
              <w:bottom w:val="single" w:color="D9DEE8" w:sz="4"/>
              <w:right w:val="single" w:color="D9DEE8" w:sz="4"/>
            </w:tcBorders>
            <w:shd w:fill="1F4E79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Bedeutung</w:t>
            </w:r>
          </w:p>
        </w:tc>
      </w:tr>
      <w:tr>
        <w:tc>
          <w:tcPr>
            <w:tcW w:type="dxa" w:w="2400"/>
            <w:tcBorders>
              <w:top w:val="single" w:color="D9DEE8" w:sz="4"/>
              <w:left w:val="single" w:color="D9DEE8" w:sz="4"/>
              <w:bottom w:val="single" w:color="D9DEE8" w:sz="4"/>
              <w:right w:val="single" w:color="D9DEE8" w:sz="4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color w:val="1A2233"/>
                <w:sz w:val="20"/>
                <w:szCs w:val="20"/>
              </w:rPr>
              <w:t xml:space="preserve">1 · Halteform</w:t>
            </w:r>
          </w:p>
        </w:tc>
        <w:tc>
          <w:tcPr>
            <w:tcW w:type="dxa" w:w="6626"/>
            <w:tcBorders>
              <w:top w:val="single" w:color="D9DEE8" w:sz="4"/>
              <w:left w:val="single" w:color="D9DEE8" w:sz="4"/>
              <w:bottom w:val="single" w:color="D9DEE8" w:sz="4"/>
              <w:right w:val="single" w:color="D9DEE8" w:sz="4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color w:val="1A2233"/>
                <w:sz w:val="20"/>
                <w:szCs w:val="20"/>
              </w:rPr>
              <w:t xml:space="preserve">Ganz oben wird nach Eigentümer-Konstrukt getrennt (GbR, Bruchteilseigentum, Privat, GmbH). Denn die Steuer läuft pro Halteform – Vermischung ist ein Risiko, kein Detail.</w:t>
            </w:r>
          </w:p>
        </w:tc>
      </w:tr>
      <w:tr>
        <w:tc>
          <w:tcPr>
            <w:tcW w:type="dxa" w:w="2400"/>
            <w:tcBorders>
              <w:top w:val="single" w:color="D9DEE8" w:sz="4"/>
              <w:left w:val="single" w:color="D9DEE8" w:sz="4"/>
              <w:bottom w:val="single" w:color="D9DEE8" w:sz="4"/>
              <w:right w:val="single" w:color="D9DEE8" w:sz="4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color w:val="1A2233"/>
                <w:sz w:val="20"/>
                <w:szCs w:val="20"/>
              </w:rPr>
              <w:t xml:space="preserve">2 · Lebenszyklus</w:t>
            </w:r>
          </w:p>
        </w:tc>
        <w:tc>
          <w:tcPr>
            <w:tcW w:type="dxa" w:w="6626"/>
            <w:tcBorders>
              <w:top w:val="single" w:color="D9DEE8" w:sz="4"/>
              <w:left w:val="single" w:color="D9DEE8" w:sz="4"/>
              <w:bottom w:val="single" w:color="D9DEE8" w:sz="4"/>
              <w:right w:val="single" w:color="D9DEE8" w:sz="4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color w:val="1A2233"/>
                <w:sz w:val="20"/>
                <w:szCs w:val="20"/>
              </w:rPr>
              <w:t xml:space="preserve">Innerhalb jeder Halteform: 0_Ankauf → 1_Bestand → 2_Verkauft. Ein Objekt wandert beim Notartermin eine Ebene weiter.</w:t>
            </w:r>
          </w:p>
        </w:tc>
      </w:tr>
      <w:tr>
        <w:tc>
          <w:tcPr>
            <w:tcW w:type="dxa" w:w="2400"/>
            <w:tcBorders>
              <w:top w:val="single" w:color="D9DEE8" w:sz="4"/>
              <w:left w:val="single" w:color="D9DEE8" w:sz="4"/>
              <w:bottom w:val="single" w:color="D9DEE8" w:sz="4"/>
              <w:right w:val="single" w:color="D9DEE8" w:sz="4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b/>
                <w:bCs/>
                <w:color w:val="1A2233"/>
                <w:sz w:val="20"/>
                <w:szCs w:val="20"/>
              </w:rPr>
              <w:t xml:space="preserve">3 · Objekt</w:t>
            </w:r>
          </w:p>
        </w:tc>
        <w:tc>
          <w:tcPr>
            <w:tcW w:type="dxa" w:w="6626"/>
            <w:tcBorders>
              <w:top w:val="single" w:color="D9DEE8" w:sz="4"/>
              <w:left w:val="single" w:color="D9DEE8" w:sz="4"/>
              <w:bottom w:val="single" w:color="D9DEE8" w:sz="4"/>
              <w:right w:val="single" w:color="D9DEE8" w:sz="4"/>
            </w:tcBorders>
            <w:shd w:fill="FFFFFF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pPr>
              <w:spacing w:after="0"/>
            </w:pPr>
            <w:r>
              <w:rPr>
                <w:color w:val="1A2233"/>
                <w:sz w:val="20"/>
                <w:szCs w:val="20"/>
              </w:rPr>
              <w:t xml:space="preserve">Jedes Objekt – ob Eigentumswohnung, Mehrfamilienhaus oder Kurzzeitvermietung – bekommt dieselbe Vorlage 00–09.</w:t>
            </w:r>
          </w:p>
        </w:tc>
      </w:tr>
    </w:tbl>
    <w:p>
      <w:pPr>
        <w:pStyle w:val="Heading1"/>
      </w:pPr>
      <w:r>
        <w:t xml:space="preserve">So sieht es im Finder aus</w:t>
      </w:r>
    </w:p>
    <w:p>
      <w:pPr>
        <w:spacing w:after="40"/>
      </w:pPr>
      <w:r>
        <w:rPr>
          <w:sz w:val="22"/>
          <w:szCs w:val="22"/>
        </w:rPr>
        <w:t xml:space="preserve">Ganz oben sortierst du nach Firma bzw. Eigentümer – darunter nach Ankauf, Bestand und Verkauf:</w:t>
      </w:r>
    </w:p>
    <w:p>
      <w:pPr>
        <w:keepNext/>
        <w:keepLines/>
        <w:spacing w:after="60" w:before="80"/>
        <w:jc w:val="center"/>
      </w:pPr>
      <w:r>
        <w:drawing>
          <wp:inline distT="0" distB="0" distL="0" distR="0">
            <wp:extent cx="4953000" cy="3381375"/>
            <wp:effectExtent t="0" r="0" b="0" l="0"/>
            <wp:docPr id="1" name="finder" descr="macOS Finder Beispielansicht der Ordnerstruktur" title="Finder-Beisp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40"/>
        <w:jc w:val="center"/>
      </w:pPr>
      <w:r>
        <w:rPr>
          <w:i/>
          <w:iCs/>
          <w:color w:val="5B6678"/>
          <w:sz w:val="16"/>
          <w:szCs w:val="16"/>
        </w:rPr>
        <w:t xml:space="preserve">Die oberste Ebene – nach Eigentümer und Status sortiert</w:t>
      </w:r>
    </w:p>
    <w:p>
      <w:pPr>
        <w:pBdr>
          <w:top w:val="single" w:color="C9DBFF" w:sz="2"/>
          <w:bottom w:val="single" w:color="C9DBFF" w:sz="2"/>
          <w:left w:val="single" w:color="2F6BFF" w:sz="18" w:space="10"/>
          <w:right w:val="single" w:color="C9DBFF" w:sz="2"/>
        </w:pBdr>
        <w:shd w:fill="E8F0FE" w:val="clear"/>
        <w:spacing w:after="60" w:before="40"/>
      </w:pPr>
      <w:r>
        <w:rPr>
          <w:b/>
          <w:bCs/>
          <w:color w:val="123A86"/>
          <w:sz w:val="21"/>
          <w:szCs w:val="21"/>
        </w:rPr>
        <w:t xml:space="preserve">Nur ein, zwei Eigentumswohnungen?  </w:t>
      </w:r>
      <w:r>
        <w:rPr>
          <w:color w:val="123A86"/>
          <w:sz w:val="21"/>
          <w:szCs w:val="21"/>
        </w:rPr>
        <w:t xml:space="preserve">Dann brauchst du die Firmen-Ebene gar nicht – deine Wohnung ist einfach ein Objekt mit den Ordnern 00–09. Genauso einfach.</w:t>
      </w:r>
    </w:p>
    <w:p>
      <w:pPr>
        <w:pStyle w:val="Heading1"/>
        <w:pageBreakBefore/>
      </w:pPr>
      <w:r>
        <w:t xml:space="preserve">Die Objekt-Vorlage (00–09)</w:t>
      </w:r>
    </w:p>
    <w:p>
      <w:pPr>
        <w:spacing w:after="60"/>
      </w:pPr>
      <w:r>
        <w:rPr>
          <w:sz w:val="22"/>
          <w:szCs w:val="22"/>
        </w:rPr>
        <w:t xml:space="preserve">Eine einzige Vorlage für jedes Objekt. Gleiche Struktur überall – man findet sich auf jedem Objekt sofort zurecht. So sieht sie mit Beispiel-Dateien aus:</w:t>
      </w:r>
    </w:p>
    <w:p>
      <w:pPr>
        <w:keepNext/>
        <w:keepLines/>
        <w:spacing w:after="60" w:before="80"/>
        <w:jc w:val="center"/>
      </w:pPr>
      <w:r>
        <w:drawing>
          <wp:inline distT="0" distB="0" distL="0" distR="0">
            <wp:extent cx="4572000" cy="6858000"/>
            <wp:effectExtent t="0" r="0" b="0" l="0"/>
            <wp:docPr id="1" name="finder" descr="macOS Finder Beispielansicht der Ordnerstruktur" title="Finder-Beisp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40"/>
        <w:jc w:val="center"/>
      </w:pPr>
      <w:r>
        <w:rPr>
          <w:i/>
          <w:iCs/>
          <w:color w:val="5B6678"/>
          <w:sz w:val="16"/>
          <w:szCs w:val="16"/>
        </w:rPr>
        <w:t xml:space="preserve">Die Vorlage 00–09 mit Beispiel-Inhalten – für jedes Objekt identisch</w:t>
      </w:r>
    </w:p>
    <w:p>
      <w:pPr>
        <w:pBdr>
          <w:top w:val="single" w:color="F0DCB4" w:sz="2"/>
          <w:bottom w:val="single" w:color="F0DCB4" w:sz="2"/>
          <w:left w:val="single" w:color="9A7B22" w:sz="18" w:space="10"/>
          <w:right w:val="single" w:color="F0DCB4" w:sz="2"/>
        </w:pBdr>
        <w:shd w:fill="FFF8EC" w:val="clear"/>
        <w:spacing w:after="0" w:before="140"/>
      </w:pPr>
      <w:r>
        <w:rPr>
          <w:b/>
          <w:bCs/>
          <w:color w:val="5C4615"/>
          <w:sz w:val="21"/>
          <w:szCs w:val="21"/>
        </w:rPr>
        <w:t xml:space="preserve">Steuer-Kernregel:  </w:t>
      </w:r>
      <w:r>
        <w:rPr>
          <w:color w:val="5C4615"/>
          <w:sz w:val="21"/>
          <w:szCs w:val="21"/>
        </w:rPr>
        <w:t xml:space="preserve">Reparaturen und Modernisierung strikt getrennt ablegen – wegen der 15-%-Grenze für anschaffungsnahe Herstellungskosten (§ 6 Abs. 1 Nr. 1a EStG) in den ersten drei Jahren nach Kauf.</w:t>
      </w:r>
    </w:p>
    <w:p>
      <w:pPr>
        <w:pStyle w:val="Heading1"/>
      </w:pPr>
      <w:r>
        <w:t xml:space="preserve">Die Einheiten-Ebene – Wohnungen &amp; Mieter</w:t>
      </w:r>
    </w:p>
    <w:p>
      <w:pPr>
        <w:spacing w:after="120"/>
      </w:pPr>
      <w:r>
        <w:rPr>
          <w:sz w:val="22"/>
          <w:szCs w:val="22"/>
        </w:rPr>
        <w:t xml:space="preserve">Jede Wohnung ist ein stabiler Ordner. Darin liegt die Mieter-Chronik: pro Mieter ein datierter Ordner – so siehst du auf einen Blick, wer wann in der Wohnung wohnte, und behältst jede Mietakte.</w:t>
      </w:r>
    </w:p>
    <w:p>
      <w:pPr>
        <w:keepNext/>
        <w:keepLines/>
        <w:spacing w:after="60" w:before="80"/>
        <w:jc w:val="center"/>
      </w:pPr>
      <w:r>
        <w:drawing>
          <wp:inline distT="0" distB="0" distL="0" distR="0">
            <wp:extent cx="5143500" cy="2971800"/>
            <wp:effectExtent t="0" r="0" b="0" l="0"/>
            <wp:docPr id="1" name="finder" descr="macOS Finder Beispielansicht der Ordnerstruktur" title="Finder-Beisp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40"/>
        <w:jc w:val="center"/>
      </w:pPr>
      <w:r>
        <w:rPr>
          <w:i/>
          <w:iCs/>
          <w:color w:val="5B6678"/>
          <w:sz w:val="16"/>
          <w:szCs w:val="16"/>
        </w:rPr>
        <w:t xml:space="preserve">Pro Wohnung eine chronologische Mieter-Liste – nichts wird gelöscht</w:t>
      </w:r>
    </w:p>
    <w:p>
      <w:pPr>
        <w:spacing w:after="80"/>
      </w:pPr>
      <w:r>
        <w:rPr>
          <w:sz w:val="22"/>
          <w:szCs w:val="22"/>
        </w:rPr>
        <w:t xml:space="preserve">Pro Mieter-Ordner: Mietvertrag, Selbstauskunft/Bonität, Kaution, Übergabe (Ein+Aus), Mieterhöhungen, Korrespondenz.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2"/>
          <w:szCs w:val="22"/>
        </w:rPr>
        <w:t xml:space="preserve">Benennung: </w:t>
      </w:r>
      <w:r>
        <w:rPr>
          <w:sz w:val="22"/>
          <w:szCs w:val="22"/>
        </w:rPr>
        <w:t xml:space="preserve">JJJJ-MM – heute · Name (aktueller Mieter), JJJJ-MM – JJJJ-MM · Name (Vormieter). Das Wort „heute“ markiert den aktuellen Mieter.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2"/>
          <w:szCs w:val="22"/>
        </w:rPr>
        <w:t xml:space="preserve">Mieterwechsel = 2 Handgriffe: </w:t>
      </w:r>
      <w:r>
        <w:rPr>
          <w:sz w:val="22"/>
          <w:szCs w:val="22"/>
        </w:rPr>
        <w:t xml:space="preserve">„heute“ durch das Auszugsdatum ersetzen (Ordner bleibt liegen, nichts löschen) und neuen Mieter-Ordner anlegen.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2"/>
          <w:szCs w:val="22"/>
        </w:rPr>
        <w:t xml:space="preserve">Belege bleiben in 06_Belege: </w:t>
      </w:r>
      <w:r>
        <w:rPr>
          <w:sz w:val="22"/>
          <w:szCs w:val="22"/>
        </w:rPr>
        <w:t xml:space="preserve">Rechnungen – auch Renovierung nach Auszug – gehören zur Buchhaltung/Steuer, nicht in den Mieter-Ordner.</w:t>
      </w:r>
    </w:p>
    <w:p>
      <w:pPr>
        <w:pStyle w:val="Heading1"/>
        <w:pageBreakBefore/>
      </w:pPr>
      <w:r>
        <w:t xml:space="preserve">Anwendungsfälle aus der Praxis</w:t>
      </w:r>
    </w:p>
    <w:p>
      <w:pPr>
        <w:spacing w:after="100"/>
      </w:pPr>
      <w:r>
        <w:rPr>
          <w:sz w:val="22"/>
          <w:szCs w:val="22"/>
        </w:rPr>
        <w:t xml:space="preserve">Dasselbe System, jede Strategie – damit du dich wiederfindest, egal wie du investierst. Buy &amp; Hold siehst du oben; hier Fix &amp; Flip, Kurzzeit und die einzelne Eigentumswohnung.</w:t>
      </w:r>
    </w:p>
    <w:p>
      <w:pPr>
        <w:spacing w:after="40"/>
      </w:pPr>
      <w:r>
        <w:rPr>
          <w:sz w:val="20"/>
          <w:szCs w:val="20"/>
        </w:rPr>
        <w:t xml:space="preserve">Fix &amp; Flip: kaufen, sanieren, verkaufen. Das Objekt wandert 0_Ankauf → 1_Bestand → 2_Verkauft, der Verkauf bekommt einen eigenen Strang.</w:t>
      </w:r>
    </w:p>
    <w:p>
      <w:pPr>
        <w:keepNext/>
        <w:keepLines/>
        <w:spacing w:after="60" w:before="80"/>
        <w:jc w:val="center"/>
      </w:pPr>
      <w:r>
        <w:drawing>
          <wp:inline distT="0" distB="0" distL="0" distR="0">
            <wp:extent cx="4953000" cy="5524500"/>
            <wp:effectExtent t="0" r="0" b="0" l="0"/>
            <wp:docPr id="1" name="finder" descr="macOS Finder Beispielansicht der Ordnerstruktur" title="Finder-Beisp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40"/>
        <w:jc w:val="center"/>
      </w:pPr>
      <w:r>
        <w:rPr>
          <w:i/>
          <w:iCs/>
          <w:color w:val="5B6678"/>
          <w:sz w:val="16"/>
          <w:szCs w:val="16"/>
        </w:rPr>
        <w:t xml:space="preserve">Fix &amp; Flip – kompletter Lebenszyklus vom Ankauf bis zum Verkauf</w:t>
      </w:r>
    </w:p>
    <w:p>
      <w:pPr>
        <w:spacing w:after="40"/>
      </w:pPr>
      <w:r>
        <w:rPr>
          <w:sz w:val="20"/>
          <w:szCs w:val="20"/>
        </w:rPr>
        <w:t xml:space="preserve">Kurzzeitvermietung: Plattform-Abrechnungen (Airbnb/Booking) in den Belegen, Umsatzsteuer in der Steuer.</w:t>
      </w:r>
    </w:p>
    <w:p>
      <w:pPr>
        <w:keepNext/>
        <w:keepLines/>
        <w:spacing w:after="60" w:before="80"/>
        <w:jc w:val="center"/>
      </w:pPr>
      <w:r>
        <w:drawing>
          <wp:inline distT="0" distB="0" distL="0" distR="0">
            <wp:extent cx="4953000" cy="3762375"/>
            <wp:effectExtent t="0" r="0" b="0" l="0"/>
            <wp:docPr id="1" name="finder" descr="macOS Finder Beispielansicht der Ordnerstruktur" title="Finder-Beisp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6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40"/>
        <w:jc w:val="center"/>
      </w:pPr>
      <w:r>
        <w:rPr>
          <w:i/>
          <w:iCs/>
          <w:color w:val="5B6678"/>
          <w:sz w:val="16"/>
          <w:szCs w:val="16"/>
        </w:rPr>
        <w:t xml:space="preserve">Kurzzeitvermietung – mit Umsatzsteuer und Plattform-Abrechnungen</w:t>
      </w:r>
    </w:p>
    <w:p>
      <w:pPr>
        <w:spacing w:after="40"/>
      </w:pPr>
      <w:r>
        <w:rPr>
          <w:sz w:val="20"/>
          <w:szCs w:val="20"/>
        </w:rPr>
        <w:t xml:space="preserve">Einzelne Eigentumswohnung: für Einsteiger mit ein, zwei Wohnungen – ohne Firmen-Ebene, dafür mit WEG-Unterlagen (Hausgeld, Protokolle, Wirtschaftsplan).</w:t>
      </w:r>
    </w:p>
    <w:p>
      <w:pPr>
        <w:keepNext/>
        <w:keepLines/>
        <w:spacing w:after="60" w:before="80"/>
        <w:jc w:val="center"/>
      </w:pPr>
      <w:r>
        <w:drawing>
          <wp:inline distT="0" distB="0" distL="0" distR="0">
            <wp:extent cx="4762500" cy="4095750"/>
            <wp:effectExtent t="0" r="0" b="0" l="0"/>
            <wp:docPr id="1" name="finder" descr="macOS Finder Beispielansicht der Ordnerstruktur" title="Finder-Beispi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40"/>
        <w:jc w:val="center"/>
      </w:pPr>
      <w:r>
        <w:rPr>
          <w:i/>
          <w:iCs/>
          <w:color w:val="5B6678"/>
          <w:sz w:val="16"/>
          <w:szCs w:val="16"/>
        </w:rPr>
        <w:t xml:space="preserve">Einzelne Eigentumswohnung – schlank, aber nach demselben System</w:t>
      </w:r>
    </w:p>
    <w:p>
      <w:pPr>
        <w:pStyle w:val="Heading1"/>
      </w:pPr>
      <w:r>
        <w:t xml:space="preserve">Kürzel-Regeln</w:t>
      </w:r>
    </w:p>
    <w:p>
      <w:pPr>
        <w:spacing w:after="120"/>
      </w:pPr>
      <w:r>
        <w:rPr>
          <w:sz w:val="22"/>
          <w:szCs w:val="22"/>
        </w:rPr>
        <w:t xml:space="preserve">Kurze Objekt-Kürzel wie B8 oder A19 – schnell getippt, eindeutig im Gespräch und in der Buchhaltung. Drei Regeln halten sie sauber: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2"/>
          <w:szCs w:val="22"/>
        </w:rPr>
        <w:t xml:space="preserve">Einmal vergeben = eingefroren. </w:t>
      </w:r>
      <w:r>
        <w:rPr>
          <w:sz w:val="22"/>
          <w:szCs w:val="22"/>
        </w:rPr>
        <w:t xml:space="preserve">Der Erstbelegte zieht nie um; ein neues Objekt weicht aus (die Beispielstraße bleibt B8, eine später hinzukommende Bachgasse 8 wird BA8).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2"/>
          <w:szCs w:val="22"/>
        </w:rPr>
        <w:t xml:space="preserve">Kollision </w:t>
      </w:r>
      <w:r>
        <w:rPr>
          <w:sz w:val="22"/>
          <w:szCs w:val="22"/>
        </w:rPr>
        <w:t xml:space="preserve">= gleicher Buchstabe UND gleiche Hausnummer. B8 und B43 leben problemlos nebeneinander.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  <w:sz w:val="22"/>
          <w:szCs w:val="22"/>
        </w:rPr>
        <w:t xml:space="preserve">Register </w:t>
      </w:r>
      <w:r>
        <w:rPr>
          <w:sz w:val="22"/>
          <w:szCs w:val="22"/>
        </w:rPr>
        <w:t xml:space="preserve">ist die einzige Wahrheit – eine Tabelle löst jedes Kürzel auf (A19 → Am Anger 19, Musterstadt).</w:t>
      </w:r>
    </w:p>
    <w:p>
      <w:pPr>
        <w:pStyle w:val="Heading1"/>
      </w:pPr>
      <w:r>
        <w:t xml:space="preserve">Dateinamen</w:t>
      </w:r>
    </w:p>
    <w:p>
      <w:pPr>
        <w:spacing w:after="100"/>
      </w:pPr>
      <w:r>
        <w:rPr>
          <w:sz w:val="22"/>
          <w:szCs w:val="22"/>
        </w:rPr>
        <w:t xml:space="preserve">Einheitlich, mit Datum vorn – dann sortiert und findet sich alles von selbst: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9DEE8" w:sz="4"/>
              <w:left w:val="single" w:color="D9DEE8" w:sz="4"/>
              <w:bottom w:val="single" w:color="D9DEE8" w:sz="4"/>
              <w:right w:val="single" w:color="D9DEE8" w:sz="4"/>
            </w:tcBorders>
            <w:shd w:fill="F2F4F8" w:val="clear"/>
            <w:tcMar>
              <w:top w:type="dxa" w:w="160"/>
              <w:left w:type="dxa" w:w="200"/>
              <w:bottom w:type="dxa" w:w="160"/>
              <w:right w:type="dxa" w:w="160"/>
            </w:tcMar>
          </w:tcPr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2C3340"/>
                <w:sz w:val="18"/>
                <w:szCs w:val="18"/>
              </w:rPr>
              <w:t xml:space="preserve">JJJJ-MM-TT_Typ_Beschreibung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2C3340"/>
                <w:sz w:val="18"/>
                <w:szCs w:val="18"/>
              </w:rPr>
              <w:t xml:space="preserve">2025-07-14_Rechnung_Heizungswartung.pdf</w:t>
            </w:r>
          </w:p>
          <w:p>
            <w:pPr>
              <w:spacing w:after="0" w:line="240"/>
            </w:pPr>
            <w:r>
              <w:rPr>
                <w:rFonts w:ascii="Consolas" w:cs="Consolas" w:eastAsia="Consolas" w:hAnsi="Consolas"/>
                <w:color w:val="2C3340"/>
                <w:sz w:val="18"/>
                <w:szCs w:val="18"/>
              </w:rPr>
              <w:t xml:space="preserve">2024-06-01_Mietvertrag_Mustermann.pdf</w:t>
            </w:r>
          </w:p>
        </w:tc>
      </w:tr>
    </w:tbl>
    <w:p>
      <w:pPr>
        <w:pStyle w:val="Heading1"/>
      </w:pPr>
      <w:r>
        <w:t xml:space="preserve">Sonderformen – gleiche Vorlage, nur ein Kennzeichen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Eigentumswohnung (WEG): Wirtschaftsplan, Beschlusssammlung, Hausgeldabrechnung in 05_Verwaltung/WEG.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Kurzzeitvermietung: Umsatzsteuer in 08_Steuer, Plattform-Abrechnungen (Airbnb/Booking) in 06_Belege.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Grundstück (unbebaut): keine Abschreibung auf den Boden, keine Einheiten – Stammdaten + Kaufprozess genügen.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Extern verwaltet: eigener Ordner Hausverwaltung-extern als saubere Schnittstelle.</w:t>
      </w:r>
    </w:p>
    <w:p>
      <w:pPr>
        <w:pBdr>
          <w:top w:val="single" w:color="C9DBFF" w:sz="2"/>
          <w:bottom w:val="single" w:color="C9DBFF" w:sz="2"/>
          <w:left w:val="single" w:color="2F6BFF" w:sz="18" w:space="10"/>
          <w:right w:val="single" w:color="C9DBFF" w:sz="2"/>
        </w:pBdr>
        <w:shd w:fill="E8F0FE" w:val="clear"/>
        <w:spacing w:after="0" w:before="260"/>
      </w:pPr>
      <w:r>
        <w:rPr>
          <w:b/>
          <w:bCs/>
          <w:color w:val="123A86"/>
          <w:sz w:val="21"/>
          <w:szCs w:val="21"/>
        </w:rPr>
        <w:t xml:space="preserve">Gut zu wissen:  </w:t>
      </w:r>
      <w:r>
        <w:rPr>
          <w:color w:val="123A86"/>
          <w:sz w:val="21"/>
          <w:szCs w:val="21"/>
        </w:rPr>
        <w:t xml:space="preserve">Diese Struktur muss niemand von Hand anlegen – ein KI-Skill („Ordner-Architekt“) erzeugt und pflegt sie automatisch: er prüft den Ist-Zustand, schlägt den Umbau vor und setzt ihn nach Freigabe selbst um.</w:t>
      </w:r>
    </w:p>
    <w:p>
      <w:pPr>
        <w:pBdr>
          <w:top w:val="single" w:color="D9DEE8" w:sz="4" w:space="6"/>
        </w:pBdr>
        <w:spacing w:after="50" w:before="340"/>
      </w:pPr>
      <w:r>
        <w:rPr>
          <w:b/>
          <w:bCs/>
          <w:color w:val="1F4E79"/>
          <w:sz w:val="19"/>
          <w:szCs w:val="19"/>
        </w:rPr>
        <w:t xml:space="preserve">immoJUMP</w:t>
      </w:r>
      <w:r>
        <w:rPr>
          <w:color w:val="5B6678"/>
          <w:sz w:val="19"/>
          <w:szCs w:val="19"/>
        </w:rPr>
        <w:t xml:space="preserve"> — registriert bei der ImmoDigit GmbH</w:t>
      </w:r>
    </w:p>
    <w:p>
      <w:pPr>
        <w:spacing w:after="60"/>
      </w:pPr>
      <w:r>
        <w:rPr>
          <w:color w:val="5B6678"/>
          <w:sz w:val="18"/>
          <w:szCs w:val="18"/>
        </w:rPr>
        <w:t xml:space="preserve">immoJUMP nutzen: </w:t>
      </w:r>
      <w:hyperlink w:history="1" r:id="rIdbbmz3vqjbe2q-iqxhypjh">
        <w:r>
          <w:rPr>
            <w:rStyle w:val="Hyperlink"/>
            <w:sz w:val="18"/>
            <w:szCs w:val="18"/>
          </w:rPr>
          <w:t xml:space="preserve">immojump.de</w:t>
        </w:r>
      </w:hyperlink>
      <w:r>
        <w:rPr>
          <w:color w:val="5B6678"/>
          <w:sz w:val="18"/>
          <w:szCs w:val="18"/>
        </w:rPr>
        <w:t xml:space="preserve">   ·   Mehr erfahren: </w:t>
      </w:r>
      <w:hyperlink w:history="1" r:id="rIdgdzkuhdm2hnc-ryvt82nc">
        <w:r>
          <w:rPr>
            <w:rStyle w:val="Hyperlink"/>
            <w:sz w:val="18"/>
            <w:szCs w:val="18"/>
          </w:rPr>
          <w:t xml:space="preserve">easy.immojump.de</w:t>
        </w:r>
      </w:hyperlink>
      <w:r>
        <w:rPr>
          <w:color w:val="5B6678"/>
          <w:sz w:val="18"/>
          <w:szCs w:val="18"/>
        </w:rPr>
        <w:t xml:space="preserve">   ·   </w:t>
      </w:r>
      <w:hyperlink w:history="1" r:id="rIdrzwb3tm5h8tlmoiovlsfa">
        <w:r>
          <w:rPr>
            <w:rStyle w:val="Hyperlink"/>
            <w:sz w:val="18"/>
            <w:szCs w:val="18"/>
          </w:rPr>
          <w:t xml:space="preserve">Instagram @immojump</w:t>
        </w:r>
      </w:hyperlink>
    </w:p>
    <w:p>
      <w:pPr>
        <w:spacing w:after="40"/>
      </w:pPr>
      <w:r>
        <w:rPr>
          <w:color w:val="5B6678"/>
          <w:sz w:val="16"/>
          <w:szCs w:val="16"/>
        </w:rPr>
        <w:t xml:space="preserve">© 2026 ImmoDigit GmbH · Euskirchener Straße 54 · 53909 Zülpich · Handelsregister HRB 29148 · Geschäftsführer: Christian Simons · info@immodigit.de</w:t>
      </w:r>
    </w:p>
    <w:p>
      <w:pPr>
        <w:spacing w:after="160"/>
      </w:pPr>
      <w:r>
        <w:rPr>
          <w:i/>
          <w:iCs/>
          <w:color w:val="5B6678"/>
          <w:sz w:val="16"/>
          <w:szCs w:val="16"/>
        </w:rPr>
        <w:t xml:space="preserve">Dieses Dokument veranschaulicht eine empfohlene Ablagestruktur. Alle genannten Objekte und Adressen sind generische Beispiele.</w:t>
      </w:r>
    </w:p>
    <w:sectPr>
      <w:footerReference w:type="default" r:id="rId7"/>
      <w:pgSz w:w="11906" w:h="16838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678"/>
        <w:sz w:val="16"/>
        <w:szCs w:val="16"/>
      </w:rPr>
      <w:t xml:space="preserve">© 2026 ImmoDigit GmbH · Immobilien-Ablage · Seite </w:t>
    </w:r>
    <w:r>
      <w:rPr>
        <w:color w:val="5B6678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300"/>
      <w:outlineLvl w:val="0"/>
    </w:pPr>
    <w:rPr>
      <w:rFonts w:ascii="Arial" w:cs="Arial" w:eastAsia="Arial" w:hAnsi="Arial"/>
      <w:b/>
      <w:bCs/>
      <w:color w:val="1F4E79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Arial" w:cs="Arial" w:eastAsia="Arial" w:hAnsi="Arial"/>
      <w:b/>
      <w:bCs/>
      <w:color w:val="2C3340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bbmz3vqjbe2q-iqxhypjh" Type="http://schemas.openxmlformats.org/officeDocument/2006/relationships/hyperlink" Target="https://immojump.de" TargetMode="External"/><Relationship Id="rIdgdzkuhdm2hnc-ryvt82nc" Type="http://schemas.openxmlformats.org/officeDocument/2006/relationships/hyperlink" Target="https://easy.immojump.de/" TargetMode="External"/><Relationship Id="rIdrzwb3tm5h8tlmoiovlsfa" Type="http://schemas.openxmlformats.org/officeDocument/2006/relationships/hyperlink" Target="https://instagram.com/immojump" TargetMode="External"/><Relationship Id="rId8" Type="http://schemas.openxmlformats.org/officeDocument/2006/relationships/image" Target="media/11989929ae72596486aeaffc8fd9ba1957f772b2.png"/><Relationship Id="rId9" Type="http://schemas.openxmlformats.org/officeDocument/2006/relationships/image" Target="media/d8d7cf990c678389772957a12456219f5907e925.png"/><Relationship Id="rId10" Type="http://schemas.openxmlformats.org/officeDocument/2006/relationships/image" Target="media/321cac1ae7a40bb6437e08e745ce63f8f9a00de0.png"/><Relationship Id="rId11" Type="http://schemas.openxmlformats.org/officeDocument/2006/relationships/image" Target="media/42998bf8a41cb764b15a4ab8f86de2d116c805c0.png"/><Relationship Id="rId12" Type="http://schemas.openxmlformats.org/officeDocument/2006/relationships/image" Target="media/ccaec4086a0b4fd8bbf0b6892e2b072dabf9dcca.png"/><Relationship Id="rId13" Type="http://schemas.openxmlformats.org/officeDocument/2006/relationships/image" Target="media/e7d548d049addf058b7c7999ae7eaa6f52f43f87.png"/><Relationship Id="rId14" Type="http://schemas.openxmlformats.org/officeDocument/2006/relationships/image" Target="media/a3d3c867a6750a4050ac984467c60edf1acc1ee3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Immobilien-Ablage – Ordnerstruktur</dc:title>
  <dc:creator>ImmoJump</dc:creator>
  <cp:lastModifiedBy>Un-named</cp:lastModifiedBy>
  <cp:revision>1</cp:revision>
  <dcterms:created xsi:type="dcterms:W3CDTF">2026-06-18T22:45:30.304Z</dcterms:created>
  <dcterms:modified xsi:type="dcterms:W3CDTF">2026-06-18T22:45:30.305Z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